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FD804">
      <w:pPr>
        <w:keepNext w:val="0"/>
        <w:keepLines w:val="0"/>
        <w:pageBreakBefore w:val="0"/>
        <w:widowControl w:val="0"/>
        <w:numPr>
          <w:ilvl w:val="0"/>
          <w:numId w:val="0"/>
        </w:numPr>
        <w:spacing w:beforeAutospacing="0" w:afterAutospacing="0" w:line="360" w:lineRule="auto"/>
        <w:ind w:left="0" w:firstLine="422"/>
        <w:jc w:val="center"/>
        <w:outlineLvl w:val="0"/>
        <w:rPr>
          <w:rFonts w:hint="eastAsia" w:ascii="宋体" w:hAnsi="宋体" w:eastAsia="宋体" w:cs="宋体"/>
          <w:b/>
          <w:color w:val="000000"/>
          <w:sz w:val="21"/>
          <w:szCs w:val="21"/>
          <w:highlight w:val="none"/>
          <w:lang w:val="en-US" w:eastAsia="zh-CN"/>
        </w:rPr>
      </w:pPr>
      <w:r>
        <w:rPr>
          <w:rStyle w:val="42"/>
          <w:rFonts w:hint="eastAsia" w:ascii="宋体" w:hAnsi="宋体" w:eastAsia="宋体" w:cs="宋体"/>
          <w:color w:val="000000"/>
          <w:highlight w:val="none"/>
          <w:lang w:val="en-US" w:eastAsia="zh-CN"/>
        </w:rPr>
        <w:t>项目需求</w:t>
      </w:r>
    </w:p>
    <w:p w14:paraId="6D538896">
      <w:pPr>
        <w:pStyle w:val="5"/>
        <w:pageBreakBefore w:val="0"/>
        <w:widowControl w:val="0"/>
        <w:kinsoku/>
        <w:wordWrap/>
        <w:overflowPunct/>
        <w:topLinePunct w:val="0"/>
        <w:autoSpaceDE/>
        <w:autoSpaceDN/>
        <w:bidi w:val="0"/>
        <w:adjustRightInd/>
        <w:snapToGrid/>
        <w:spacing w:before="0" w:after="0" w:line="360" w:lineRule="auto"/>
        <w:ind w:firstLine="211" w:firstLineChars="100"/>
        <w:jc w:val="left"/>
        <w:textAlignment w:val="auto"/>
        <w:rPr>
          <w:rFonts w:hint="eastAsia" w:ascii="宋体" w:hAnsi="宋体" w:eastAsia="宋体" w:cs="宋体"/>
          <w:sz w:val="21"/>
          <w:szCs w:val="21"/>
        </w:rPr>
      </w:pPr>
      <w:r>
        <w:rPr>
          <w:rFonts w:hint="eastAsia" w:ascii="宋体" w:hAnsi="宋体" w:eastAsia="宋体" w:cs="宋体"/>
          <w:sz w:val="21"/>
          <w:szCs w:val="21"/>
        </w:rPr>
        <w:t>一、项目概况</w:t>
      </w:r>
    </w:p>
    <w:p w14:paraId="081CA11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1、项目名称</w:t>
      </w:r>
      <w:r>
        <w:rPr>
          <w:rFonts w:hint="eastAsia" w:ascii="宋体" w:hAnsi="宋体" w:eastAsia="宋体" w:cs="宋体"/>
          <w:sz w:val="21"/>
          <w:szCs w:val="21"/>
        </w:rPr>
        <w:t>：</w:t>
      </w:r>
      <w:r>
        <w:rPr>
          <w:rFonts w:hint="eastAsia" w:ascii="宋体" w:hAnsi="宋体" w:eastAsia="宋体" w:cs="宋体"/>
          <w:sz w:val="21"/>
          <w:szCs w:val="21"/>
          <w:lang w:val="en-US" w:eastAsia="zh-CN"/>
        </w:rPr>
        <w:t>仪征技师学院2026级新生军训项目</w:t>
      </w:r>
    </w:p>
    <w:p w14:paraId="7578A78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lang w:val="en-US" w:eastAsia="zh-CN"/>
        </w:rPr>
        <w:t>11元/天/生（暂定以7天、1000人核算，即11×7×1000=77000元，（最终费用结算根据实际军训天数及人数结算）</w:t>
      </w:r>
    </w:p>
    <w:p w14:paraId="38FE25D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项目概况：</w:t>
      </w:r>
      <w:r>
        <w:rPr>
          <w:rFonts w:hint="eastAsia" w:ascii="宋体" w:hAnsi="宋体" w:eastAsia="宋体" w:cs="宋体"/>
          <w:kern w:val="2"/>
          <w:sz w:val="21"/>
          <w:szCs w:val="21"/>
          <w:lang w:val="en-US" w:eastAsia="zh-CN" w:bidi="ar-SA"/>
        </w:rPr>
        <w:t>根据《国防教育法》的要求，开展26级新生军训，</w:t>
      </w:r>
      <w:r>
        <w:rPr>
          <w:rFonts w:hint="eastAsia" w:ascii="宋体" w:hAnsi="宋体" w:eastAsia="宋体" w:cs="宋体"/>
          <w:color w:val="auto"/>
          <w:sz w:val="21"/>
          <w:szCs w:val="21"/>
          <w:highlight w:val="none"/>
          <w:lang w:val="en-US" w:eastAsia="zh-CN"/>
        </w:rPr>
        <w:t>预估人数：1000人</w:t>
      </w:r>
    </w:p>
    <w:p w14:paraId="17FCA5CA">
      <w:pPr>
        <w:pStyle w:val="5"/>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sz w:val="21"/>
          <w:szCs w:val="21"/>
        </w:rPr>
      </w:pPr>
      <w:r>
        <w:rPr>
          <w:rFonts w:hint="eastAsia" w:ascii="宋体" w:hAnsi="宋体" w:eastAsia="宋体" w:cs="宋体"/>
          <w:b/>
          <w:kern w:val="44"/>
          <w:sz w:val="21"/>
          <w:szCs w:val="21"/>
          <w:lang w:val="en-US" w:eastAsia="zh-CN" w:bidi="ar-SA"/>
        </w:rPr>
        <w:t>二、</w:t>
      </w:r>
      <w:r>
        <w:rPr>
          <w:rFonts w:hint="eastAsia" w:ascii="宋体" w:hAnsi="宋体" w:eastAsia="宋体" w:cs="宋体"/>
          <w:sz w:val="21"/>
          <w:szCs w:val="21"/>
          <w:lang w:val="en-US" w:eastAsia="zh-CN"/>
        </w:rPr>
        <w:t>具体要求</w:t>
      </w:r>
    </w:p>
    <w:p w14:paraId="525B026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1、承担军训工作要选派政治立场坚定、思想品德优秀、作风优良、军事素质过硬的教练员担任本次军训的教官，负责制定军训计划。</w:t>
      </w:r>
    </w:p>
    <w:p w14:paraId="7F84A41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军训计划暂定时间从9月3日至9月9日（共7天时间，统计时按实际训练天数及参训人数计算）；训练时间和内容按军训计划进行；要严格遵守训练时间，提前对参训教官进行培训，按时开展军训工作。军训主要内容包括、个人队列动作、方阵队列、分列式、阅兵式、军体拳术等基本功、宿舍内务整理、军事理论学习与纪律教育以及在军训汇报演练中要有特色演练项目。负责军训的单位给出自己具体的训练方案后和我校负责军训的部门再行商议，最后确定具体的正式训练方案。</w:t>
      </w:r>
    </w:p>
    <w:p w14:paraId="1770FDE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3、军训服务费包含教官吃饭、道具及音响，预计需教官15名其中必须保证1名女教官，配1名医生，军训期间教官的住宿由学校负责（宿舍仅提供床位，无住宿用品）。</w:t>
      </w:r>
    </w:p>
    <w:p w14:paraId="5C1396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4、参训教官要严格要求、严格训练、文明训练、尊重学生，严禁体罚或变相体罚学生；学工处组织相关人员协助做好学生的思想教育和管理工作；</w:t>
      </w:r>
    </w:p>
    <w:p w14:paraId="27EC028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5、严禁教官将学生单独带离训练场地，特殊情况必须报告领导；训练结束后禁止教官与学生单独来往，禁止与学生相互吃请、互赠礼物、互留电话号码及通讯地址。</w:t>
      </w:r>
    </w:p>
    <w:p w14:paraId="3F9686C4">
      <w:pPr>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三、军训内容</w:t>
      </w:r>
    </w:p>
    <w:p w14:paraId="6623A2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1、队列训练科目：军姿坐姿、解散集合、整齐报数、队形变换、立正稍息、跨立与立正，敬礼与礼毕、停止间转法、蹲下与起立、路队训练。</w:t>
      </w:r>
    </w:p>
    <w:p w14:paraId="148BDC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2、军人三大步法：齐步行进与停止、正步行进与停止、跑步行进与停止。</w:t>
      </w:r>
    </w:p>
    <w:p w14:paraId="4453B1E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3、理论学习：军队三大条令条例（队列条令、纪律条令、内务条）。</w:t>
      </w:r>
    </w:p>
    <w:p w14:paraId="1EC5111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4、附加科目：学唱军歌、部队拉歌、紧急集合、战术、配套擒敌拳、花样队列操、警棍盾牌术、内务整理、消防演练。</w:t>
      </w:r>
    </w:p>
    <w:p w14:paraId="16AAD202">
      <w:pPr>
        <w:pStyle w:val="5"/>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商务要求</w:t>
      </w:r>
    </w:p>
    <w:p w14:paraId="3C413378">
      <w:pPr>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1、服务时间：</w:t>
      </w:r>
      <w:r>
        <w:rPr>
          <w:rFonts w:hint="eastAsia" w:ascii="宋体" w:hAnsi="宋体" w:eastAsia="宋体" w:cs="宋体"/>
          <w:sz w:val="21"/>
          <w:szCs w:val="21"/>
          <w:highlight w:val="none"/>
          <w:lang w:val="en-US" w:eastAsia="zh-CN"/>
        </w:rPr>
        <w:t>9月3日至9月9日</w:t>
      </w:r>
    </w:p>
    <w:p w14:paraId="6C6A82ED">
      <w:pPr>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2、服务地点：仪征技师学院。</w:t>
      </w:r>
    </w:p>
    <w:p w14:paraId="0088ACBE">
      <w:pPr>
        <w:pageBreakBefore w:val="0"/>
        <w:widowControl w:val="0"/>
        <w:kinsoku/>
        <w:wordWrap/>
        <w:overflowPunct/>
        <w:topLinePunct w:val="0"/>
        <w:bidi w:val="0"/>
        <w:snapToGrid/>
        <w:spacing w:line="360" w:lineRule="auto"/>
        <w:ind w:firstLine="420" w:firstLineChars="0"/>
        <w:textAlignment w:val="auto"/>
        <w:rPr>
          <w:rFonts w:hint="eastAsia" w:ascii="宋体" w:hAnsi="宋体" w:eastAsia="宋体" w:cs="宋体"/>
          <w:sz w:val="21"/>
          <w:szCs w:val="21"/>
          <w:highlight w:val="none"/>
          <w:shd w:val="clear"/>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付款方式：</w:t>
      </w:r>
      <w:r>
        <w:rPr>
          <w:rFonts w:hint="eastAsia" w:ascii="宋体" w:hAnsi="宋体" w:eastAsia="宋体" w:cs="宋体"/>
          <w:sz w:val="21"/>
          <w:szCs w:val="21"/>
          <w:highlight w:val="none"/>
          <w:shd w:val="clear" w:color="auto"/>
        </w:rPr>
        <w:t>军训结束后</w:t>
      </w:r>
      <w:r>
        <w:rPr>
          <w:rFonts w:hint="eastAsia" w:ascii="宋体" w:hAnsi="宋体" w:eastAsia="宋体" w:cs="宋体"/>
          <w:sz w:val="21"/>
          <w:szCs w:val="21"/>
          <w:highlight w:val="none"/>
          <w:shd w:val="clear" w:color="auto"/>
          <w:lang w:val="en-US" w:eastAsia="zh-CN"/>
        </w:rPr>
        <w:t>一次性</w:t>
      </w:r>
      <w:r>
        <w:rPr>
          <w:rFonts w:hint="eastAsia" w:ascii="宋体" w:hAnsi="宋体" w:eastAsia="宋体" w:cs="宋体"/>
          <w:sz w:val="21"/>
          <w:szCs w:val="21"/>
          <w:highlight w:val="none"/>
          <w:shd w:val="clear" w:color="auto"/>
        </w:rPr>
        <w:t>向</w:t>
      </w:r>
      <w:r>
        <w:rPr>
          <w:rFonts w:hint="eastAsia" w:ascii="宋体" w:hAnsi="宋体" w:eastAsia="宋体" w:cs="宋体"/>
          <w:sz w:val="21"/>
          <w:szCs w:val="21"/>
          <w:highlight w:val="none"/>
          <w:shd w:val="clear" w:color="auto"/>
          <w:lang w:val="en-US" w:eastAsia="zh-CN"/>
        </w:rPr>
        <w:t>供应商</w:t>
      </w:r>
      <w:r>
        <w:rPr>
          <w:rFonts w:hint="eastAsia" w:ascii="宋体" w:hAnsi="宋体" w:eastAsia="宋体" w:cs="宋体"/>
          <w:sz w:val="21"/>
          <w:szCs w:val="21"/>
          <w:highlight w:val="none"/>
          <w:shd w:val="clear" w:color="auto"/>
        </w:rPr>
        <w:t xml:space="preserve">付清所有费用 </w:t>
      </w:r>
    </w:p>
    <w:p w14:paraId="387CFA6B">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、其他要求</w:t>
      </w:r>
    </w:p>
    <w:p w14:paraId="455F98DE">
      <w:pPr>
        <w:spacing w:line="360" w:lineRule="auto"/>
        <w:ind w:firstLine="420" w:firstLineChars="0"/>
        <w:rPr>
          <w:rFonts w:hint="eastAsia" w:ascii="宋体" w:hAnsi="宋体" w:eastAsia="宋体" w:cs="宋体"/>
          <w:sz w:val="21"/>
          <w:szCs w:val="21"/>
        </w:rPr>
      </w:pPr>
      <w:r>
        <w:rPr>
          <w:rFonts w:hint="eastAsia" w:ascii="宋体" w:hAnsi="宋体" w:eastAsia="宋体" w:cs="宋体"/>
          <w:sz w:val="21"/>
          <w:szCs w:val="21"/>
        </w:rPr>
        <w:t>1、投标报价为本</w:t>
      </w:r>
      <w:r>
        <w:rPr>
          <w:rFonts w:hint="eastAsia" w:ascii="宋体" w:hAnsi="宋体" w:eastAsia="宋体" w:cs="宋体"/>
          <w:sz w:val="21"/>
          <w:szCs w:val="21"/>
          <w:lang w:val="en-US" w:eastAsia="zh-CN"/>
        </w:rPr>
        <w:t>采购</w:t>
      </w:r>
      <w:r>
        <w:rPr>
          <w:rFonts w:hint="eastAsia" w:ascii="宋体" w:hAnsi="宋体" w:eastAsia="宋体" w:cs="宋体"/>
          <w:sz w:val="21"/>
          <w:szCs w:val="21"/>
        </w:rPr>
        <w:t>文件所确定的</w:t>
      </w:r>
      <w:r>
        <w:rPr>
          <w:rFonts w:hint="eastAsia" w:ascii="宋体" w:hAnsi="宋体" w:eastAsia="宋体" w:cs="宋体"/>
          <w:sz w:val="21"/>
          <w:szCs w:val="21"/>
          <w:lang w:val="en-US" w:eastAsia="zh-CN"/>
        </w:rPr>
        <w:t>采购</w:t>
      </w:r>
      <w:r>
        <w:rPr>
          <w:rFonts w:hint="eastAsia" w:ascii="宋体" w:hAnsi="宋体" w:eastAsia="宋体" w:cs="宋体"/>
          <w:sz w:val="21"/>
          <w:szCs w:val="21"/>
        </w:rPr>
        <w:t>范围内的全部工作内容的价格体现。其中包括完成该项目合同期内的服务，涵盖人工、耗材、服务所需的工具、管理过程中发生的费用及政策性文件规定以及价格风险等各项应有内容的全部费用的所有风险、责任等各项应有的所有费用。采购文件未列明，而供应商认为其他必需的费用也需列入报价。</w:t>
      </w:r>
      <w:bookmarkStart w:id="2" w:name="_GoBack"/>
      <w:bookmarkEnd w:id="2"/>
    </w:p>
    <w:p w14:paraId="6E33F7C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2D49A57">
      <w:pPr>
        <w:bidi w:val="0"/>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lang w:val="en-US" w:eastAsia="zh-CN"/>
        </w:rPr>
        <w:t>评审方法和评审标准</w:t>
      </w:r>
    </w:p>
    <w:p w14:paraId="62D0BC40">
      <w:pPr>
        <w:pStyle w:val="44"/>
        <w:numPr>
          <w:ilvl w:val="0"/>
          <w:numId w:val="1"/>
        </w:numPr>
        <w:rPr>
          <w:rFonts w:hint="eastAsia" w:ascii="宋体" w:hAnsi="宋体"/>
          <w:b/>
          <w:color w:val="000000"/>
          <w:kern w:val="2"/>
          <w:sz w:val="21"/>
          <w:szCs w:val="21"/>
          <w:highlight w:val="none"/>
        </w:rPr>
      </w:pPr>
      <w:r>
        <w:rPr>
          <w:rFonts w:hint="eastAsia" w:ascii="宋体" w:hAnsi="宋体"/>
          <w:b/>
          <w:color w:val="000000"/>
          <w:kern w:val="2"/>
          <w:sz w:val="21"/>
          <w:szCs w:val="21"/>
          <w:highlight w:val="none"/>
        </w:rPr>
        <w:t>一、评审方法</w:t>
      </w:r>
    </w:p>
    <w:p w14:paraId="5128CA2B">
      <w:pPr>
        <w:numPr>
          <w:ilvl w:val="0"/>
          <w:numId w:val="1"/>
        </w:numPr>
        <w:spacing w:line="360" w:lineRule="auto"/>
        <w:rPr>
          <w:rFonts w:hint="eastAsia" w:ascii="宋体" w:hAnsi="宋体"/>
          <w:color w:val="000000"/>
          <w:szCs w:val="21"/>
          <w:highlight w:val="none"/>
        </w:rPr>
      </w:pP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本项目采用综合评分法，磋商小组将对确定为实质性响应采购文件要求的响应文件进行评价和比较。评审结果按评审后得分由高到低顺序排列。得分相同的，按最后报价由低到高顺序排列。得分且最后报价相同的并列，按照技术指标评审得分最高的供应商为排名第一的成交候选人。</w:t>
      </w:r>
    </w:p>
    <w:p w14:paraId="7D530119">
      <w:pPr>
        <w:pStyle w:val="44"/>
        <w:numPr>
          <w:ilvl w:val="0"/>
          <w:numId w:val="1"/>
        </w:numPr>
        <w:rPr>
          <w:rFonts w:hint="eastAsia" w:ascii="宋体" w:hAnsi="宋体" w:eastAsia="宋体" w:cs="Arial"/>
          <w:bCs/>
          <w:color w:val="000000"/>
          <w:kern w:val="2"/>
          <w:sz w:val="21"/>
          <w:szCs w:val="21"/>
          <w:highlight w:val="none"/>
        </w:rPr>
      </w:pPr>
      <w:bookmarkStart w:id="0" w:name="_Toc449017024"/>
      <w:bookmarkStart w:id="1" w:name="_Toc449016388"/>
      <w:r>
        <w:rPr>
          <w:rFonts w:hint="eastAsia" w:ascii="宋体" w:hAnsi="宋体"/>
          <w:b/>
          <w:bCs w:val="0"/>
          <w:color w:val="000000"/>
          <w:kern w:val="2"/>
          <w:sz w:val="21"/>
          <w:szCs w:val="21"/>
          <w:highlight w:val="none"/>
        </w:rPr>
        <w:t>二、政府采购政策功能落实</w:t>
      </w:r>
      <w:bookmarkEnd w:id="0"/>
      <w:bookmarkEnd w:id="1"/>
    </w:p>
    <w:p w14:paraId="6F7E1E79">
      <w:pPr>
        <w:pStyle w:val="44"/>
        <w:numPr>
          <w:ilvl w:val="0"/>
          <w:numId w:val="1"/>
        </w:numPr>
        <w:rPr>
          <w:rFonts w:hint="eastAsia" w:ascii="宋体" w:hAnsi="宋体" w:eastAsia="宋体" w:cs="Arial"/>
          <w:bCs/>
          <w:color w:val="000000"/>
          <w:kern w:val="2"/>
          <w:sz w:val="21"/>
          <w:szCs w:val="21"/>
          <w:highlight w:val="none"/>
        </w:rPr>
      </w:pPr>
      <w:r>
        <w:rPr>
          <w:rFonts w:hint="eastAsia" w:ascii="宋体" w:hAnsi="宋体" w:eastAsia="宋体" w:cs="宋体"/>
          <w:b/>
          <w:bCs/>
          <w:i/>
          <w:iCs/>
          <w:color w:val="000000"/>
          <w:sz w:val="21"/>
          <w:szCs w:val="21"/>
          <w:u w:val="none"/>
          <w:lang w:val="en-US" w:eastAsia="zh-CN"/>
        </w:rPr>
        <w:t xml:space="preserve">  </w:t>
      </w:r>
      <w:r>
        <w:rPr>
          <w:rFonts w:hint="eastAsia" w:ascii="宋体" w:hAnsi="宋体" w:eastAsia="宋体" w:cs="宋体"/>
          <w:b/>
          <w:bCs/>
          <w:i/>
          <w:iCs/>
          <w:color w:val="000000"/>
          <w:sz w:val="21"/>
          <w:szCs w:val="21"/>
          <w:u w:val="single"/>
        </w:rPr>
        <w:t>本项目专门面向中小企业采购故价格部分不进行价格扣除。</w:t>
      </w:r>
    </w:p>
    <w:p w14:paraId="404F5388">
      <w:pPr>
        <w:pStyle w:val="44"/>
        <w:ind w:left="0" w:leftChars="0" w:firstLine="0" w:firstLineChars="0"/>
        <w:rPr>
          <w:b/>
          <w:bCs/>
          <w:color w:val="auto"/>
          <w:highlight w:val="none"/>
        </w:rPr>
      </w:pPr>
      <w:r>
        <w:rPr>
          <w:b/>
          <w:bCs/>
          <w:color w:val="auto"/>
          <w:highlight w:val="none"/>
        </w:rPr>
        <w:t>三、评标标准</w:t>
      </w:r>
    </w:p>
    <w:tbl>
      <w:tblPr>
        <w:tblStyle w:val="13"/>
        <w:tblW w:w="47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170"/>
        <w:gridCol w:w="6057"/>
      </w:tblGrid>
      <w:tr w14:paraId="6B67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513E97">
            <w:pPr>
              <w:widowControl/>
              <w:adjustRightInd w:val="0"/>
              <w:snapToGrid w:val="0"/>
              <w:spacing w:line="360" w:lineRule="auto"/>
              <w:jc w:val="center"/>
              <w:textAlignment w:val="center"/>
              <w:rPr>
                <w:rFonts w:ascii="宋体" w:hAnsi="宋体" w:cs="宋体"/>
                <w:b/>
                <w:color w:val="000000"/>
                <w:kern w:val="0"/>
                <w:sz w:val="21"/>
                <w:szCs w:val="21"/>
              </w:rPr>
            </w:pPr>
            <w:r>
              <w:rPr>
                <w:rFonts w:hint="eastAsia" w:ascii="宋体" w:hAnsi="宋体" w:cs="宋体"/>
                <w:b/>
                <w:color w:val="000000"/>
                <w:kern w:val="0"/>
                <w:sz w:val="21"/>
                <w:szCs w:val="21"/>
              </w:rPr>
              <w:t>序号</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1C28AC">
            <w:pPr>
              <w:widowControl/>
              <w:adjustRightInd w:val="0"/>
              <w:snapToGrid w:val="0"/>
              <w:spacing w:line="360" w:lineRule="auto"/>
              <w:jc w:val="center"/>
              <w:textAlignment w:val="center"/>
              <w:rPr>
                <w:rFonts w:ascii="宋体" w:hAnsi="宋体" w:cs="宋体"/>
                <w:b/>
                <w:color w:val="000000"/>
                <w:kern w:val="0"/>
                <w:sz w:val="21"/>
                <w:szCs w:val="21"/>
              </w:rPr>
            </w:pPr>
            <w:r>
              <w:rPr>
                <w:rFonts w:hint="eastAsia" w:ascii="宋体" w:hAnsi="宋体" w:cs="宋体"/>
                <w:b/>
                <w:color w:val="000000"/>
                <w:kern w:val="0"/>
                <w:sz w:val="21"/>
                <w:szCs w:val="21"/>
              </w:rPr>
              <w:t>评分项目</w:t>
            </w:r>
          </w:p>
        </w:tc>
        <w:tc>
          <w:tcPr>
            <w:tcW w:w="382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F3B0E4">
            <w:pPr>
              <w:widowControl/>
              <w:adjustRightInd w:val="0"/>
              <w:snapToGrid w:val="0"/>
              <w:spacing w:line="360" w:lineRule="auto"/>
              <w:jc w:val="center"/>
              <w:textAlignment w:val="center"/>
              <w:rPr>
                <w:rFonts w:ascii="宋体" w:hAnsi="宋体" w:cs="宋体"/>
                <w:b/>
                <w:color w:val="000000"/>
                <w:kern w:val="0"/>
                <w:sz w:val="21"/>
                <w:szCs w:val="21"/>
              </w:rPr>
            </w:pPr>
            <w:r>
              <w:rPr>
                <w:rFonts w:hint="eastAsia" w:ascii="宋体" w:hAnsi="宋体" w:cs="宋体"/>
                <w:b/>
                <w:color w:val="000000"/>
                <w:kern w:val="0"/>
                <w:sz w:val="21"/>
                <w:szCs w:val="21"/>
              </w:rPr>
              <w:t>评分细则</w:t>
            </w:r>
          </w:p>
        </w:tc>
      </w:tr>
      <w:tr w14:paraId="3BAE0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trPr>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84EB3B">
            <w:pPr>
              <w:widowControl/>
              <w:adjustRightInd w:val="0"/>
              <w:snapToGrid w:val="0"/>
              <w:spacing w:line="360" w:lineRule="auto"/>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A0F871E">
            <w:pPr>
              <w:widowControl/>
              <w:adjustRightInd w:val="0"/>
              <w:snapToGrid w:val="0"/>
              <w:spacing w:line="360" w:lineRule="auto"/>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投标报价</w:t>
            </w:r>
          </w:p>
          <w:p w14:paraId="415BB461">
            <w:pPr>
              <w:widowControl/>
              <w:adjustRightInd w:val="0"/>
              <w:snapToGrid w:val="0"/>
              <w:spacing w:line="360" w:lineRule="auto"/>
              <w:jc w:val="center"/>
              <w:textAlignment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0分</w:t>
            </w:r>
            <w:r>
              <w:rPr>
                <w:rFonts w:hint="eastAsia" w:ascii="宋体" w:hAnsi="宋体" w:cs="宋体"/>
                <w:color w:val="000000"/>
                <w:kern w:val="0"/>
                <w:sz w:val="21"/>
                <w:szCs w:val="21"/>
                <w:lang w:val="en-US" w:eastAsia="zh-CN"/>
              </w:rPr>
              <w:t>)</w:t>
            </w:r>
          </w:p>
        </w:tc>
        <w:tc>
          <w:tcPr>
            <w:tcW w:w="382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50C170">
            <w:pPr>
              <w:widowControl/>
              <w:adjustRightInd w:val="0"/>
              <w:snapToGrid w:val="0"/>
              <w:spacing w:line="360" w:lineRule="auto"/>
              <w:textAlignment w:val="center"/>
              <w:rPr>
                <w:rFonts w:ascii="宋体" w:hAnsi="宋体" w:cs="宋体"/>
                <w:color w:val="000000"/>
                <w:kern w:val="0"/>
                <w:sz w:val="21"/>
                <w:szCs w:val="21"/>
              </w:rPr>
            </w:pPr>
            <w:r>
              <w:rPr>
                <w:rFonts w:hint="eastAsia" w:ascii="宋体" w:hAnsi="宋体" w:cs="宋体"/>
                <w:color w:val="000000"/>
                <w:kern w:val="0"/>
                <w:sz w:val="21"/>
                <w:szCs w:val="21"/>
              </w:rPr>
              <w:t>满足磋商文件要求且投标价格最低的有效投标综合报价为评标基准价，其价格分为满分</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0分。</w:t>
            </w:r>
          </w:p>
          <w:p w14:paraId="3B06B349">
            <w:pPr>
              <w:widowControl/>
              <w:adjustRightInd w:val="0"/>
              <w:snapToGrid w:val="0"/>
              <w:spacing w:line="360" w:lineRule="auto"/>
              <w:textAlignment w:val="center"/>
              <w:rPr>
                <w:rFonts w:ascii="宋体" w:hAnsi="宋体" w:cs="宋体"/>
                <w:b/>
                <w:color w:val="000000"/>
                <w:kern w:val="0"/>
                <w:sz w:val="21"/>
                <w:szCs w:val="21"/>
              </w:rPr>
            </w:pPr>
            <w:r>
              <w:rPr>
                <w:rFonts w:hint="eastAsia" w:ascii="宋体" w:hAnsi="宋体" w:cs="宋体"/>
                <w:color w:val="000000"/>
                <w:kern w:val="0"/>
                <w:sz w:val="21"/>
                <w:szCs w:val="21"/>
              </w:rPr>
              <w:t>其他投标人的价格分统一按照下列公式计算：投标报价得分=（评标基准价/投标报价）×</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0，结果保留两位小数。</w:t>
            </w:r>
          </w:p>
        </w:tc>
      </w:tr>
      <w:tr w14:paraId="1C58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trPr>
        <w:tc>
          <w:tcPr>
            <w:tcW w:w="439" w:type="pct"/>
            <w:vMerge w:val="restart"/>
            <w:tcBorders>
              <w:top w:val="single" w:color="000000" w:sz="4" w:space="0"/>
              <w:left w:val="single" w:color="000000" w:sz="4" w:space="0"/>
              <w:right w:val="single" w:color="000000" w:sz="4" w:space="0"/>
            </w:tcBorders>
            <w:noWrap w:val="0"/>
            <w:vAlign w:val="center"/>
          </w:tcPr>
          <w:p w14:paraId="112BA718">
            <w:pPr>
              <w:widowControl/>
              <w:adjustRightInd w:val="0"/>
              <w:snapToGrid w:val="0"/>
              <w:spacing w:line="360" w:lineRule="auto"/>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2</w:t>
            </w:r>
          </w:p>
        </w:tc>
        <w:tc>
          <w:tcPr>
            <w:tcW w:w="738" w:type="pct"/>
            <w:vMerge w:val="restart"/>
            <w:tcBorders>
              <w:top w:val="single" w:color="000000" w:sz="4" w:space="0"/>
              <w:left w:val="single" w:color="000000" w:sz="4" w:space="0"/>
              <w:right w:val="single" w:color="000000" w:sz="4" w:space="0"/>
            </w:tcBorders>
            <w:noWrap w:val="0"/>
            <w:vAlign w:val="center"/>
          </w:tcPr>
          <w:p w14:paraId="7E78A35F">
            <w:pPr>
              <w:widowControl/>
              <w:adjustRightInd w:val="0"/>
              <w:snapToGrid w:val="0"/>
              <w:spacing w:line="360" w:lineRule="auto"/>
              <w:jc w:val="center"/>
              <w:textAlignment w:val="center"/>
              <w:rPr>
                <w:rFonts w:hint="eastAsia" w:ascii="宋体" w:hAnsi="宋体" w:cs="宋体"/>
                <w:color w:val="000000"/>
                <w:sz w:val="21"/>
                <w:szCs w:val="21"/>
              </w:rPr>
            </w:pPr>
            <w:r>
              <w:rPr>
                <w:rFonts w:hint="eastAsia" w:ascii="宋体" w:hAnsi="宋体" w:cs="宋体"/>
                <w:color w:val="000000"/>
                <w:sz w:val="21"/>
                <w:szCs w:val="21"/>
              </w:rPr>
              <w:t>团队专业能力</w:t>
            </w:r>
          </w:p>
          <w:p w14:paraId="68F9198A">
            <w:pPr>
              <w:widowControl/>
              <w:adjustRightInd w:val="0"/>
              <w:snapToGrid w:val="0"/>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w:t>
            </w:r>
            <w:r>
              <w:rPr>
                <w:rFonts w:hint="eastAsia" w:ascii="宋体" w:hAnsi="宋体" w:cs="宋体"/>
                <w:color w:val="000000"/>
                <w:kern w:val="0"/>
                <w:sz w:val="21"/>
                <w:szCs w:val="21"/>
                <w:lang w:val="en-US" w:eastAsia="zh-CN"/>
              </w:rPr>
              <w:t>30</w:t>
            </w:r>
            <w:r>
              <w:rPr>
                <w:rFonts w:hint="eastAsia" w:ascii="宋体" w:hAnsi="宋体" w:cs="宋体"/>
                <w:color w:val="000000"/>
                <w:kern w:val="0"/>
                <w:sz w:val="21"/>
                <w:szCs w:val="21"/>
              </w:rPr>
              <w:t>分</w:t>
            </w:r>
            <w:r>
              <w:rPr>
                <w:rFonts w:hint="eastAsia" w:ascii="宋体" w:hAnsi="宋体" w:cs="宋体"/>
                <w:color w:val="000000"/>
                <w:sz w:val="21"/>
                <w:szCs w:val="21"/>
                <w:lang w:val="en-US" w:eastAsia="zh-CN"/>
              </w:rPr>
              <w:t>)</w:t>
            </w:r>
          </w:p>
          <w:p w14:paraId="68B24057">
            <w:pPr>
              <w:widowControl/>
              <w:adjustRightInd w:val="0"/>
              <w:snapToGrid w:val="0"/>
              <w:spacing w:line="360" w:lineRule="auto"/>
              <w:jc w:val="center"/>
              <w:textAlignment w:val="center"/>
              <w:rPr>
                <w:rFonts w:ascii="宋体" w:hAnsi="宋体" w:cs="宋体"/>
                <w:color w:val="000000"/>
                <w:kern w:val="0"/>
                <w:sz w:val="21"/>
                <w:szCs w:val="21"/>
              </w:rPr>
            </w:pPr>
          </w:p>
        </w:tc>
        <w:tc>
          <w:tcPr>
            <w:tcW w:w="3821" w:type="pct"/>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28DF942">
            <w:pPr>
              <w:numPr>
                <w:ilvl w:val="0"/>
                <w:numId w:val="0"/>
              </w:numPr>
              <w:adjustRightInd w:val="0"/>
              <w:snapToGrid w:val="0"/>
              <w:spacing w:line="360" w:lineRule="auto"/>
              <w:rPr>
                <w:rFonts w:ascii="Times New Roman" w:hAnsi="Times New Roman" w:eastAsia="宋体" w:cs="Times New Roman"/>
                <w:spacing w:val="-3"/>
                <w:sz w:val="21"/>
                <w:szCs w:val="21"/>
              </w:rPr>
            </w:pPr>
            <w:r>
              <w:rPr>
                <w:rFonts w:ascii="Times New Roman" w:hAnsi="Times New Roman" w:eastAsia="宋体" w:cs="Times New Roman"/>
                <w:spacing w:val="-3"/>
                <w:sz w:val="21"/>
                <w:szCs w:val="21"/>
              </w:rPr>
              <w:t>提供的教官平均军龄3年的得2分；4年的得3分；5年以上的得5分。（以</w:t>
            </w:r>
            <w:r>
              <w:rPr>
                <w:rFonts w:hint="eastAsia" w:ascii="Times New Roman" w:hAnsi="Times New Roman" w:eastAsia="宋体" w:cs="Times New Roman"/>
                <w:spacing w:val="-3"/>
                <w:sz w:val="21"/>
                <w:szCs w:val="21"/>
                <w:lang w:val="en-US" w:eastAsia="zh-CN"/>
              </w:rPr>
              <w:t>15</w:t>
            </w:r>
            <w:r>
              <w:rPr>
                <w:rFonts w:ascii="Times New Roman" w:hAnsi="Times New Roman" w:eastAsia="宋体" w:cs="Times New Roman"/>
                <w:spacing w:val="-3"/>
                <w:sz w:val="21"/>
                <w:szCs w:val="21"/>
              </w:rPr>
              <w:t>人计算，四舍五入）</w:t>
            </w:r>
          </w:p>
          <w:p w14:paraId="1677E547">
            <w:pPr>
              <w:numPr>
                <w:ilvl w:val="0"/>
                <w:numId w:val="0"/>
              </w:numPr>
              <w:adjustRightInd w:val="0"/>
              <w:snapToGrid w:val="0"/>
              <w:spacing w:line="360" w:lineRule="auto"/>
              <w:rPr>
                <w:spacing w:val="-1"/>
                <w:sz w:val="21"/>
                <w:szCs w:val="21"/>
              </w:rPr>
            </w:pPr>
            <w:r>
              <w:rPr>
                <w:spacing w:val="-11"/>
                <w:sz w:val="21"/>
                <w:szCs w:val="21"/>
              </w:rPr>
              <w:t>（</w:t>
            </w:r>
            <w:r>
              <w:rPr>
                <w:spacing w:val="-3"/>
                <w:sz w:val="21"/>
                <w:szCs w:val="21"/>
              </w:rPr>
              <w:t>须提供相关佐证材料复</w:t>
            </w:r>
            <w:r>
              <w:rPr>
                <w:spacing w:val="-1"/>
                <w:sz w:val="21"/>
                <w:szCs w:val="21"/>
              </w:rPr>
              <w:t>印件加盖公章）</w:t>
            </w:r>
          </w:p>
        </w:tc>
      </w:tr>
      <w:tr w14:paraId="07E3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trPr>
        <w:tc>
          <w:tcPr>
            <w:tcW w:w="439" w:type="pct"/>
            <w:vMerge w:val="continue"/>
            <w:tcBorders>
              <w:left w:val="single" w:color="000000" w:sz="4" w:space="0"/>
              <w:bottom w:val="single" w:color="000000" w:sz="4" w:space="0"/>
              <w:right w:val="single" w:color="000000" w:sz="4" w:space="0"/>
            </w:tcBorders>
            <w:noWrap w:val="0"/>
            <w:vAlign w:val="center"/>
          </w:tcPr>
          <w:p w14:paraId="21B77E9A">
            <w:pPr>
              <w:adjustRightInd w:val="0"/>
              <w:snapToGrid w:val="0"/>
              <w:spacing w:line="360" w:lineRule="auto"/>
              <w:jc w:val="center"/>
              <w:rPr>
                <w:sz w:val="21"/>
                <w:szCs w:val="21"/>
              </w:rPr>
            </w:pPr>
          </w:p>
        </w:tc>
        <w:tc>
          <w:tcPr>
            <w:tcW w:w="738" w:type="pct"/>
            <w:vMerge w:val="continue"/>
            <w:tcBorders>
              <w:left w:val="single" w:color="000000" w:sz="4" w:space="0"/>
              <w:bottom w:val="single" w:color="000000" w:sz="4" w:space="0"/>
              <w:right w:val="single" w:color="000000" w:sz="4" w:space="0"/>
            </w:tcBorders>
            <w:noWrap w:val="0"/>
            <w:vAlign w:val="center"/>
          </w:tcPr>
          <w:p w14:paraId="5F413B3B">
            <w:pPr>
              <w:adjustRightInd w:val="0"/>
              <w:snapToGrid w:val="0"/>
              <w:spacing w:line="360" w:lineRule="auto"/>
              <w:jc w:val="center"/>
              <w:rPr>
                <w:sz w:val="21"/>
                <w:szCs w:val="21"/>
              </w:rPr>
            </w:pPr>
          </w:p>
        </w:tc>
        <w:tc>
          <w:tcPr>
            <w:tcW w:w="3821" w:type="pct"/>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73E85CF">
            <w:pPr>
              <w:numPr>
                <w:ilvl w:val="0"/>
                <w:numId w:val="0"/>
              </w:numPr>
              <w:adjustRightInd w:val="0"/>
              <w:snapToGrid w:val="0"/>
              <w:spacing w:line="360" w:lineRule="auto"/>
              <w:rPr>
                <w:rFonts w:hint="eastAsia"/>
                <w:spacing w:val="-1"/>
                <w:sz w:val="21"/>
                <w:szCs w:val="21"/>
              </w:rPr>
            </w:pPr>
            <w:r>
              <w:rPr>
                <w:rFonts w:hint="eastAsia"/>
                <w:spacing w:val="-1"/>
                <w:sz w:val="21"/>
                <w:szCs w:val="21"/>
              </w:rPr>
              <w:t xml:space="preserve">提供的教官每有一名优秀士兵或优秀士官的加 1 分；满分 </w:t>
            </w:r>
            <w:r>
              <w:rPr>
                <w:rFonts w:hint="eastAsia"/>
                <w:spacing w:val="-1"/>
                <w:sz w:val="21"/>
                <w:szCs w:val="21"/>
                <w:lang w:val="en-US" w:eastAsia="zh-CN"/>
              </w:rPr>
              <w:t>5</w:t>
            </w:r>
            <w:r>
              <w:rPr>
                <w:rFonts w:hint="eastAsia"/>
                <w:spacing w:val="-1"/>
                <w:sz w:val="21"/>
                <w:szCs w:val="21"/>
              </w:rPr>
              <w:t xml:space="preserve"> 分</w:t>
            </w:r>
          </w:p>
          <w:p w14:paraId="0881B98E">
            <w:pPr>
              <w:numPr>
                <w:ilvl w:val="0"/>
                <w:numId w:val="0"/>
              </w:numPr>
              <w:adjustRightInd w:val="0"/>
              <w:snapToGrid w:val="0"/>
              <w:spacing w:line="360" w:lineRule="auto"/>
              <w:rPr>
                <w:rFonts w:hint="eastAsia"/>
                <w:spacing w:val="-1"/>
                <w:sz w:val="21"/>
                <w:szCs w:val="21"/>
              </w:rPr>
            </w:pPr>
            <w:r>
              <w:rPr>
                <w:rFonts w:hint="eastAsia"/>
                <w:spacing w:val="-1"/>
                <w:sz w:val="21"/>
                <w:szCs w:val="21"/>
              </w:rPr>
              <w:t xml:space="preserve">提供的教官每有一份三等功的加 2 分；满分 </w:t>
            </w:r>
            <w:r>
              <w:rPr>
                <w:rFonts w:hint="eastAsia"/>
                <w:spacing w:val="-1"/>
                <w:sz w:val="21"/>
                <w:szCs w:val="21"/>
                <w:lang w:val="en-US" w:eastAsia="zh-CN"/>
              </w:rPr>
              <w:t>8</w:t>
            </w:r>
            <w:r>
              <w:rPr>
                <w:rFonts w:hint="eastAsia"/>
                <w:spacing w:val="-1"/>
                <w:sz w:val="21"/>
                <w:szCs w:val="21"/>
              </w:rPr>
              <w:t>分</w:t>
            </w:r>
          </w:p>
          <w:p w14:paraId="4BA2A7F3">
            <w:pPr>
              <w:numPr>
                <w:ilvl w:val="0"/>
                <w:numId w:val="0"/>
              </w:numPr>
              <w:adjustRightInd w:val="0"/>
              <w:snapToGrid w:val="0"/>
              <w:spacing w:line="360" w:lineRule="auto"/>
              <w:rPr>
                <w:rFonts w:hint="eastAsia"/>
                <w:spacing w:val="-1"/>
                <w:sz w:val="21"/>
                <w:szCs w:val="21"/>
              </w:rPr>
            </w:pPr>
            <w:r>
              <w:rPr>
                <w:rFonts w:hint="eastAsia"/>
                <w:spacing w:val="-1"/>
                <w:sz w:val="21"/>
                <w:szCs w:val="21"/>
              </w:rPr>
              <w:t xml:space="preserve">提供的教官每有一份二等功及以上的加 </w:t>
            </w:r>
            <w:r>
              <w:rPr>
                <w:rFonts w:hint="eastAsia"/>
                <w:spacing w:val="-1"/>
                <w:sz w:val="21"/>
                <w:szCs w:val="21"/>
                <w:lang w:val="en-US" w:eastAsia="zh-CN"/>
              </w:rPr>
              <w:t>4</w:t>
            </w:r>
            <w:r>
              <w:rPr>
                <w:rFonts w:hint="eastAsia"/>
                <w:spacing w:val="-1"/>
                <w:sz w:val="21"/>
                <w:szCs w:val="21"/>
              </w:rPr>
              <w:t xml:space="preserve"> 分；满分</w:t>
            </w:r>
            <w:r>
              <w:rPr>
                <w:rFonts w:hint="eastAsia"/>
                <w:spacing w:val="-1"/>
                <w:sz w:val="21"/>
                <w:szCs w:val="21"/>
                <w:lang w:val="en-US" w:eastAsia="zh-CN"/>
              </w:rPr>
              <w:t>12</w:t>
            </w:r>
            <w:r>
              <w:rPr>
                <w:rFonts w:hint="eastAsia"/>
                <w:spacing w:val="-1"/>
                <w:sz w:val="21"/>
                <w:szCs w:val="21"/>
              </w:rPr>
              <w:t>分。</w:t>
            </w:r>
          </w:p>
          <w:p w14:paraId="6C41A176">
            <w:pPr>
              <w:numPr>
                <w:ilvl w:val="0"/>
                <w:numId w:val="0"/>
              </w:numPr>
              <w:adjustRightInd w:val="0"/>
              <w:snapToGrid w:val="0"/>
              <w:spacing w:line="360" w:lineRule="auto"/>
              <w:rPr>
                <w:rFonts w:hint="eastAsia"/>
                <w:spacing w:val="-1"/>
                <w:sz w:val="21"/>
                <w:szCs w:val="21"/>
              </w:rPr>
            </w:pPr>
            <w:r>
              <w:rPr>
                <w:spacing w:val="-1"/>
                <w:sz w:val="21"/>
                <w:szCs w:val="21"/>
              </w:rPr>
              <w:t>（须提供相关佐证材料复印件加盖公章）</w:t>
            </w:r>
          </w:p>
        </w:tc>
      </w:tr>
      <w:tr w14:paraId="6833B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66820">
            <w:pPr>
              <w:widowControl/>
              <w:adjustRightInd w:val="0"/>
              <w:snapToGrid w:val="0"/>
              <w:spacing w:line="360" w:lineRule="auto"/>
              <w:jc w:val="center"/>
              <w:rPr>
                <w:rFonts w:ascii="宋体" w:hAnsi="宋体" w:cs="宋体"/>
                <w:color w:val="000000"/>
                <w:kern w:val="0"/>
                <w:sz w:val="21"/>
                <w:szCs w:val="21"/>
              </w:rPr>
            </w:pPr>
          </w:p>
        </w:tc>
        <w:tc>
          <w:tcPr>
            <w:tcW w:w="738" w:type="pct"/>
            <w:tcBorders>
              <w:top w:val="single" w:color="000000" w:sz="4" w:space="0"/>
              <w:left w:val="single" w:color="000000" w:sz="4" w:space="0"/>
              <w:right w:val="single" w:color="000000" w:sz="4" w:space="0"/>
            </w:tcBorders>
            <w:noWrap w:val="0"/>
            <w:vAlign w:val="center"/>
          </w:tcPr>
          <w:p w14:paraId="1FBA6857">
            <w:pPr>
              <w:widowControl/>
              <w:adjustRightInd w:val="0"/>
              <w:snapToGrid w:val="0"/>
              <w:spacing w:line="360" w:lineRule="auto"/>
              <w:jc w:val="center"/>
              <w:textAlignment w:val="center"/>
              <w:rPr>
                <w:rFonts w:ascii="宋体" w:hAnsi="宋体" w:cs="宋体"/>
                <w:color w:val="000000"/>
                <w:sz w:val="21"/>
                <w:szCs w:val="21"/>
              </w:rPr>
            </w:pPr>
            <w:r>
              <w:rPr>
                <w:rFonts w:hint="eastAsia" w:ascii="宋体" w:hAnsi="宋体" w:cs="宋体"/>
                <w:color w:val="000000"/>
                <w:sz w:val="21"/>
                <w:szCs w:val="21"/>
              </w:rPr>
              <w:t>业绩</w:t>
            </w:r>
          </w:p>
          <w:p w14:paraId="40A71179">
            <w:pPr>
              <w:widowControl/>
              <w:adjustRightInd w:val="0"/>
              <w:snapToGrid w:val="0"/>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sz w:val="21"/>
                <w:szCs w:val="21"/>
                <w:lang w:val="en-US" w:eastAsia="zh-CN"/>
              </w:rPr>
              <w:t>(</w:t>
            </w:r>
            <w:r>
              <w:rPr>
                <w:rFonts w:hint="eastAsia" w:ascii="宋体" w:hAnsi="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cs="宋体"/>
                <w:color w:val="000000"/>
                <w:sz w:val="21"/>
                <w:szCs w:val="21"/>
              </w:rPr>
              <w:t>分</w:t>
            </w:r>
            <w:r>
              <w:rPr>
                <w:rFonts w:hint="eastAsia" w:ascii="宋体" w:hAnsi="宋体" w:cs="宋体"/>
                <w:color w:val="000000"/>
                <w:sz w:val="21"/>
                <w:szCs w:val="21"/>
                <w:lang w:val="en-US" w:eastAsia="zh-CN"/>
              </w:rPr>
              <w:t>)</w:t>
            </w:r>
          </w:p>
        </w:tc>
        <w:tc>
          <w:tcPr>
            <w:tcW w:w="3821" w:type="pct"/>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1361DE">
            <w:pPr>
              <w:widowControl/>
              <w:adjustRightInd w:val="0"/>
              <w:snapToGrid w:val="0"/>
              <w:spacing w:line="360" w:lineRule="auto"/>
              <w:ind w:left="105" w:leftChars="50" w:right="105" w:rightChars="50"/>
              <w:textAlignment w:val="center"/>
              <w:rPr>
                <w:rFonts w:ascii="宋体" w:hAnsi="宋体" w:cs="宋体"/>
                <w:color w:val="000000"/>
                <w:sz w:val="21"/>
                <w:szCs w:val="21"/>
              </w:rPr>
            </w:pPr>
            <w:r>
              <w:rPr>
                <w:rFonts w:hint="eastAsia" w:ascii="宋体" w:hAnsi="宋体" w:cs="宋体"/>
                <w:color w:val="000000"/>
                <w:sz w:val="21"/>
                <w:szCs w:val="21"/>
              </w:rPr>
              <w:t>1.投标人</w:t>
            </w:r>
            <w:r>
              <w:rPr>
                <w:rFonts w:hint="eastAsia" w:ascii="宋体" w:hAnsi="宋体" w:cs="宋体"/>
                <w:color w:val="auto"/>
                <w:sz w:val="21"/>
                <w:szCs w:val="21"/>
              </w:rPr>
              <w:t>提供</w:t>
            </w:r>
            <w:r>
              <w:rPr>
                <w:rFonts w:hint="eastAsia" w:ascii="宋体" w:hAnsi="宋体" w:cs="宋体"/>
                <w:color w:val="auto"/>
                <w:sz w:val="21"/>
                <w:szCs w:val="21"/>
                <w:lang w:val="en-US" w:eastAsia="zh-CN"/>
              </w:rPr>
              <w:t>2022年1月1日以</w:t>
            </w:r>
            <w:r>
              <w:rPr>
                <w:rFonts w:hint="eastAsia" w:ascii="宋体" w:hAnsi="宋体" w:cs="宋体"/>
                <w:color w:val="auto"/>
                <w:sz w:val="21"/>
                <w:szCs w:val="21"/>
              </w:rPr>
              <w:t>来</w:t>
            </w:r>
            <w:r>
              <w:rPr>
                <w:rFonts w:hint="eastAsia" w:ascii="宋体" w:hAnsi="宋体" w:cs="宋体"/>
                <w:color w:val="000000"/>
                <w:sz w:val="21"/>
                <w:szCs w:val="21"/>
              </w:rPr>
              <w:t>开展类似项目业绩，每提供一份合同得5分，本项最高得</w:t>
            </w:r>
            <w:r>
              <w:rPr>
                <w:rFonts w:hint="eastAsia" w:ascii="宋体" w:hAnsi="宋体" w:cs="宋体"/>
                <w:color w:val="000000"/>
                <w:sz w:val="21"/>
                <w:szCs w:val="21"/>
                <w:lang w:val="en-US" w:eastAsia="zh-CN"/>
              </w:rPr>
              <w:t>15</w:t>
            </w:r>
            <w:r>
              <w:rPr>
                <w:rFonts w:hint="eastAsia" w:ascii="宋体" w:hAnsi="宋体" w:cs="宋体"/>
                <w:color w:val="000000"/>
                <w:sz w:val="21"/>
                <w:szCs w:val="21"/>
              </w:rPr>
              <w:t>分。（以合同签定的时间为准）</w:t>
            </w:r>
          </w:p>
          <w:p w14:paraId="1249DB23">
            <w:pPr>
              <w:adjustRightInd w:val="0"/>
              <w:snapToGrid w:val="0"/>
              <w:spacing w:line="360" w:lineRule="auto"/>
              <w:rPr>
                <w:rFonts w:ascii="宋体" w:hAnsi="宋体" w:cs="宋体"/>
                <w:color w:val="000000"/>
                <w:kern w:val="0"/>
                <w:sz w:val="21"/>
                <w:szCs w:val="21"/>
              </w:rPr>
            </w:pPr>
            <w:r>
              <w:rPr>
                <w:rFonts w:hint="eastAsia" w:ascii="宋体" w:hAnsi="宋体" w:cs="宋体"/>
                <w:b/>
                <w:bCs/>
                <w:color w:val="000000"/>
                <w:sz w:val="21"/>
                <w:szCs w:val="21"/>
              </w:rPr>
              <w:t>以上证明材料需提供复印件加盖投标人公章</w:t>
            </w:r>
          </w:p>
        </w:tc>
      </w:tr>
      <w:tr w14:paraId="365E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trPr>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584A19">
            <w:pPr>
              <w:widowControl/>
              <w:adjustRightInd w:val="0"/>
              <w:snapToGrid w:val="0"/>
              <w:spacing w:line="360" w:lineRule="auto"/>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3</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CB94BCB">
            <w:pPr>
              <w:widowControl/>
              <w:adjustRightInd w:val="0"/>
              <w:snapToGrid w:val="0"/>
              <w:spacing w:line="360" w:lineRule="auto"/>
              <w:jc w:val="center"/>
              <w:textAlignment w:val="center"/>
              <w:rPr>
                <w:rFonts w:hint="eastAsia" w:ascii="宋体" w:hAnsi="宋体" w:cs="宋体"/>
                <w:color w:val="000000"/>
                <w:sz w:val="21"/>
                <w:szCs w:val="21"/>
                <w:lang w:val="zh-CN"/>
              </w:rPr>
            </w:pPr>
            <w:r>
              <w:rPr>
                <w:rFonts w:hint="eastAsia" w:ascii="宋体" w:hAnsi="宋体" w:cs="宋体"/>
                <w:color w:val="000000"/>
                <w:sz w:val="21"/>
                <w:szCs w:val="21"/>
                <w:lang w:val="zh-CN"/>
              </w:rPr>
              <w:t>项目整体实施方案</w:t>
            </w:r>
          </w:p>
          <w:p w14:paraId="37625C3C">
            <w:pPr>
              <w:widowControl/>
              <w:adjustRightInd w:val="0"/>
              <w:snapToGrid w:val="0"/>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w:t>
            </w:r>
          </w:p>
        </w:tc>
        <w:tc>
          <w:tcPr>
            <w:tcW w:w="382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957F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eastAsia="宋体"/>
                <w:color w:val="1F2329"/>
                <w:sz w:val="21"/>
                <w:szCs w:val="21"/>
                <w:lang w:eastAsia="zh-CN"/>
              </w:rPr>
            </w:pPr>
            <w:r>
              <w:rPr>
                <w:color w:val="1F2329"/>
                <w:sz w:val="21"/>
                <w:szCs w:val="21"/>
              </w:rPr>
              <w:t>方案贴合军训与警校特色，日程、训练科目完整规范，育人、训练保障措施详实落地</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15</w:t>
            </w:r>
            <w:r>
              <w:rPr>
                <w:rFonts w:hint="eastAsia"/>
                <w:spacing w:val="-1"/>
                <w:sz w:val="21"/>
                <w:szCs w:val="21"/>
              </w:rPr>
              <w:t>分</w:t>
            </w:r>
            <w:r>
              <w:rPr>
                <w:rFonts w:hint="eastAsia"/>
                <w:spacing w:val="-1"/>
                <w:sz w:val="21"/>
                <w:szCs w:val="21"/>
                <w:lang w:eastAsia="zh-CN"/>
              </w:rPr>
              <w:t>；</w:t>
            </w:r>
          </w:p>
          <w:p w14:paraId="1F768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eastAsia="宋体"/>
                <w:color w:val="1F2329"/>
                <w:sz w:val="21"/>
                <w:szCs w:val="21"/>
                <w:lang w:eastAsia="zh-CN"/>
              </w:rPr>
            </w:pPr>
            <w:r>
              <w:rPr>
                <w:color w:val="1F2329"/>
                <w:sz w:val="21"/>
                <w:szCs w:val="21"/>
              </w:rPr>
              <w:t>方案符合项目需求，训练内容、警校特色齐全，保障措施可行，少量细节缺失</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11</w:t>
            </w:r>
            <w:r>
              <w:rPr>
                <w:rFonts w:hint="eastAsia"/>
                <w:spacing w:val="-1"/>
                <w:sz w:val="21"/>
                <w:szCs w:val="21"/>
              </w:rPr>
              <w:t>分</w:t>
            </w:r>
            <w:r>
              <w:rPr>
                <w:rFonts w:hint="eastAsia"/>
                <w:spacing w:val="-1"/>
                <w:sz w:val="21"/>
                <w:szCs w:val="21"/>
                <w:lang w:eastAsia="zh-CN"/>
              </w:rPr>
              <w:t>；</w:t>
            </w:r>
          </w:p>
          <w:p w14:paraId="13CCC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eastAsia="宋体"/>
                <w:color w:val="1F2329"/>
                <w:sz w:val="21"/>
                <w:szCs w:val="21"/>
                <w:lang w:eastAsia="zh-CN"/>
              </w:rPr>
            </w:pPr>
            <w:r>
              <w:rPr>
                <w:color w:val="1F2329"/>
                <w:sz w:val="21"/>
                <w:szCs w:val="21"/>
              </w:rPr>
              <w:t>方案整体可行，日程、科目存在少量缺项，警校培养内容偏少，保障措施较笼统</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7</w:t>
            </w:r>
            <w:r>
              <w:rPr>
                <w:rFonts w:hint="eastAsia"/>
                <w:spacing w:val="-1"/>
                <w:sz w:val="21"/>
                <w:szCs w:val="21"/>
              </w:rPr>
              <w:t>分</w:t>
            </w:r>
            <w:r>
              <w:rPr>
                <w:rFonts w:hint="eastAsia"/>
                <w:spacing w:val="-1"/>
                <w:sz w:val="21"/>
                <w:szCs w:val="21"/>
                <w:lang w:eastAsia="zh-CN"/>
              </w:rPr>
              <w:t>；</w:t>
            </w:r>
          </w:p>
          <w:p w14:paraId="287B5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eastAsia="宋体"/>
                <w:color w:val="1F2329"/>
                <w:sz w:val="21"/>
                <w:szCs w:val="21"/>
                <w:lang w:eastAsia="zh-CN"/>
              </w:rPr>
            </w:pPr>
            <w:r>
              <w:rPr>
                <w:color w:val="1F2329"/>
                <w:sz w:val="21"/>
                <w:szCs w:val="21"/>
              </w:rPr>
              <w:t>方案短板突出，训练安排简略，警校特色内容单薄，各类保障措施可操作性差</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3</w:t>
            </w:r>
            <w:r>
              <w:rPr>
                <w:rFonts w:hint="eastAsia"/>
                <w:spacing w:val="-1"/>
                <w:sz w:val="21"/>
                <w:szCs w:val="21"/>
              </w:rPr>
              <w:t>分</w:t>
            </w:r>
            <w:r>
              <w:rPr>
                <w:rFonts w:hint="eastAsia"/>
                <w:spacing w:val="-1"/>
                <w:sz w:val="21"/>
                <w:szCs w:val="21"/>
                <w:lang w:eastAsia="zh-CN"/>
              </w:rPr>
              <w:t>；</w:t>
            </w:r>
          </w:p>
          <w:p w14:paraId="796B3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1"/>
                <w:szCs w:val="21"/>
                <w:lang w:eastAsia="zh-CN"/>
              </w:rPr>
            </w:pPr>
            <w:r>
              <w:rPr>
                <w:color w:val="1F2329"/>
                <w:sz w:val="21"/>
                <w:szCs w:val="21"/>
              </w:rPr>
              <w:t>方案不匹配项目需求，内容粗糙混乱，无保障措施或未提供方案</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0</w:t>
            </w:r>
            <w:r>
              <w:rPr>
                <w:rFonts w:hint="eastAsia"/>
                <w:spacing w:val="-1"/>
                <w:sz w:val="21"/>
                <w:szCs w:val="21"/>
              </w:rPr>
              <w:t>分</w:t>
            </w:r>
            <w:r>
              <w:rPr>
                <w:rFonts w:hint="eastAsia"/>
                <w:spacing w:val="-1"/>
                <w:sz w:val="21"/>
                <w:szCs w:val="21"/>
                <w:lang w:eastAsia="zh-CN"/>
              </w:rPr>
              <w:t>。</w:t>
            </w:r>
          </w:p>
        </w:tc>
      </w:tr>
      <w:tr w14:paraId="6AC4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9" w:hRule="atLeast"/>
        </w:trPr>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C128F6D">
            <w:pPr>
              <w:widowControl/>
              <w:adjustRightInd w:val="0"/>
              <w:snapToGrid w:val="0"/>
              <w:spacing w:line="360" w:lineRule="auto"/>
              <w:jc w:val="center"/>
              <w:textAlignment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C41F897">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sz w:val="21"/>
                <w:szCs w:val="21"/>
              </w:rPr>
            </w:pPr>
            <w:r>
              <w:rPr>
                <w:rFonts w:hint="default" w:ascii="Times New Roman" w:hAnsi="Times New Roman" w:cs="Times New Roman"/>
                <w:color w:val="000000"/>
                <w:sz w:val="21"/>
                <w:szCs w:val="21"/>
              </w:rPr>
              <w:t>应急保障</w:t>
            </w:r>
          </w:p>
          <w:p w14:paraId="6504ECD5">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宋体" w:hAnsi="宋体" w:cs="宋体"/>
                <w:color w:val="000000"/>
                <w:sz w:val="21"/>
                <w:szCs w:val="21"/>
              </w:rPr>
            </w:pPr>
            <w:r>
              <w:rPr>
                <w:rFonts w:hint="default" w:ascii="Times New Roman" w:hAnsi="Times New Roman" w:cs="Times New Roman"/>
                <w:color w:val="000000"/>
                <w:sz w:val="21"/>
                <w:szCs w:val="21"/>
              </w:rPr>
              <w:t>（</w:t>
            </w:r>
            <w:r>
              <w:rPr>
                <w:rFonts w:hint="eastAsia" w:ascii="Times New Roman" w:hAnsi="Times New Roman" w:cs="Times New Roman"/>
                <w:color w:val="000000"/>
                <w:sz w:val="21"/>
                <w:szCs w:val="21"/>
                <w:lang w:val="en-US" w:eastAsia="zh-CN"/>
              </w:rPr>
              <w:t>10</w:t>
            </w:r>
            <w:r>
              <w:rPr>
                <w:rFonts w:hint="default" w:ascii="Times New Roman" w:hAnsi="Times New Roman" w:cs="Times New Roman"/>
                <w:color w:val="000000"/>
                <w:sz w:val="21"/>
                <w:szCs w:val="21"/>
              </w:rPr>
              <w:t>分）</w:t>
            </w:r>
          </w:p>
        </w:tc>
        <w:tc>
          <w:tcPr>
            <w:tcW w:w="382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941040">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ascii="Times New Roman" w:hAnsi="Times New Roman" w:cs="Times New Roman"/>
                <w:color w:val="000000"/>
                <w:sz w:val="21"/>
                <w:szCs w:val="21"/>
              </w:rPr>
            </w:pPr>
            <w:r>
              <w:rPr>
                <w:rFonts w:ascii="宋体" w:hAnsi="宋体" w:eastAsia="宋体" w:cs="宋体"/>
                <w:sz w:val="21"/>
                <w:szCs w:val="21"/>
              </w:rPr>
              <w:t>预案适配</w:t>
            </w:r>
            <w:r>
              <w:rPr>
                <w:rFonts w:hint="eastAsia" w:ascii="宋体" w:hAnsi="宋体" w:eastAsia="宋体" w:cs="宋体"/>
                <w:sz w:val="21"/>
                <w:szCs w:val="21"/>
                <w:lang w:val="en-US" w:eastAsia="zh-CN"/>
              </w:rPr>
              <w:t>学</w:t>
            </w:r>
            <w:r>
              <w:rPr>
                <w:rFonts w:ascii="宋体" w:hAnsi="宋体" w:eastAsia="宋体" w:cs="宋体"/>
                <w:sz w:val="21"/>
                <w:szCs w:val="21"/>
              </w:rPr>
              <w:t>校军训，分工清晰，各类突发事件处置流程齐全，保障措施完善可落地</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10</w:t>
            </w:r>
            <w:r>
              <w:rPr>
                <w:rFonts w:hint="eastAsia"/>
                <w:spacing w:val="-1"/>
                <w:sz w:val="21"/>
                <w:szCs w:val="21"/>
              </w:rPr>
              <w:t>分</w:t>
            </w:r>
            <w:r>
              <w:rPr>
                <w:rFonts w:hint="eastAsia"/>
                <w:spacing w:val="-1"/>
                <w:sz w:val="21"/>
                <w:szCs w:val="21"/>
                <w:lang w:eastAsia="zh-CN"/>
              </w:rPr>
              <w:t>；</w:t>
            </w:r>
          </w:p>
          <w:p w14:paraId="15D1B0E5">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ascii="Times New Roman" w:hAnsi="Times New Roman" w:cs="Times New Roman"/>
                <w:color w:val="000000"/>
                <w:sz w:val="21"/>
                <w:szCs w:val="21"/>
              </w:rPr>
            </w:pPr>
            <w:r>
              <w:rPr>
                <w:rFonts w:ascii="宋体" w:hAnsi="宋体" w:eastAsia="宋体" w:cs="宋体"/>
                <w:sz w:val="21"/>
                <w:szCs w:val="21"/>
              </w:rPr>
              <w:t>预案整体适配项目，组织、处置、医疗物资保障齐全，仅少量细节简略</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8</w:t>
            </w:r>
            <w:r>
              <w:rPr>
                <w:rFonts w:hint="eastAsia"/>
                <w:spacing w:val="-1"/>
                <w:sz w:val="21"/>
                <w:szCs w:val="21"/>
              </w:rPr>
              <w:t>分</w:t>
            </w:r>
            <w:r>
              <w:rPr>
                <w:rFonts w:hint="eastAsia"/>
                <w:spacing w:val="-1"/>
                <w:sz w:val="21"/>
                <w:szCs w:val="21"/>
                <w:lang w:eastAsia="zh-CN"/>
              </w:rPr>
              <w:t>；</w:t>
            </w:r>
          </w:p>
          <w:p w14:paraId="784FC72F">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ascii="Times New Roman" w:hAnsi="Times New Roman" w:cs="Times New Roman"/>
                <w:color w:val="000000"/>
                <w:sz w:val="21"/>
                <w:szCs w:val="21"/>
              </w:rPr>
            </w:pPr>
            <w:r>
              <w:rPr>
                <w:rFonts w:ascii="宋体" w:hAnsi="宋体" w:eastAsia="宋体" w:cs="宋体"/>
                <w:sz w:val="21"/>
                <w:szCs w:val="21"/>
              </w:rPr>
              <w:t>预案框架完整，存在分工模糊、流程简略、保障措施细化不足等轻微问题</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6</w:t>
            </w:r>
            <w:r>
              <w:rPr>
                <w:rFonts w:hint="eastAsia"/>
                <w:spacing w:val="-1"/>
                <w:sz w:val="21"/>
                <w:szCs w:val="21"/>
              </w:rPr>
              <w:t>分</w:t>
            </w:r>
            <w:r>
              <w:rPr>
                <w:rFonts w:hint="eastAsia"/>
                <w:spacing w:val="-1"/>
                <w:sz w:val="21"/>
                <w:szCs w:val="21"/>
                <w:lang w:eastAsia="zh-CN"/>
              </w:rPr>
              <w:t>；</w:t>
            </w:r>
          </w:p>
          <w:p w14:paraId="6620E917">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ascii="Times New Roman" w:hAnsi="Times New Roman" w:cs="Times New Roman"/>
                <w:color w:val="000000"/>
                <w:sz w:val="21"/>
                <w:szCs w:val="21"/>
              </w:rPr>
            </w:pPr>
            <w:r>
              <w:rPr>
                <w:rFonts w:ascii="宋体" w:hAnsi="宋体" w:eastAsia="宋体" w:cs="宋体"/>
                <w:sz w:val="21"/>
                <w:szCs w:val="21"/>
              </w:rPr>
              <w:t>预案缺陷较多，职责混乱，多项突发事件无处置方案，保障措施笼统难落地</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3</w:t>
            </w:r>
            <w:r>
              <w:rPr>
                <w:rFonts w:hint="eastAsia"/>
                <w:spacing w:val="-1"/>
                <w:sz w:val="21"/>
                <w:szCs w:val="21"/>
              </w:rPr>
              <w:t>分</w:t>
            </w:r>
            <w:r>
              <w:rPr>
                <w:rFonts w:hint="eastAsia"/>
                <w:spacing w:val="-1"/>
                <w:sz w:val="21"/>
                <w:szCs w:val="21"/>
                <w:lang w:eastAsia="zh-CN"/>
              </w:rPr>
              <w:t>；</w:t>
            </w:r>
          </w:p>
          <w:p w14:paraId="57CA859C">
            <w:pPr>
              <w:pStyle w:val="1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000000"/>
                <w:sz w:val="21"/>
                <w:szCs w:val="21"/>
                <w:lang w:val="en-US" w:eastAsia="zh-CN"/>
              </w:rPr>
            </w:pPr>
            <w:r>
              <w:rPr>
                <w:rFonts w:hint="default" w:ascii="Times New Roman" w:hAnsi="Times New Roman" w:cs="Times New Roman"/>
                <w:color w:val="000000"/>
                <w:sz w:val="21"/>
                <w:szCs w:val="21"/>
              </w:rPr>
              <w:t>预案漏洞严重，无法实操，应急保障大面积缺失，或未提供完整预案</w:t>
            </w:r>
            <w:r>
              <w:rPr>
                <w:rFonts w:hint="eastAsia" w:ascii="Times New Roman" w:hAnsi="Times New Roman" w:cs="Times New Roman"/>
                <w:color w:val="000000"/>
                <w:sz w:val="21"/>
                <w:szCs w:val="21"/>
                <w:lang w:eastAsia="zh-CN"/>
              </w:rPr>
              <w:t>，</w:t>
            </w:r>
            <w:r>
              <w:rPr>
                <w:rFonts w:hint="eastAsia"/>
                <w:spacing w:val="-1"/>
                <w:sz w:val="21"/>
                <w:szCs w:val="21"/>
              </w:rPr>
              <w:t>得</w:t>
            </w:r>
            <w:r>
              <w:rPr>
                <w:rFonts w:hint="eastAsia"/>
                <w:spacing w:val="-1"/>
                <w:sz w:val="21"/>
                <w:szCs w:val="21"/>
                <w:lang w:val="en-US" w:eastAsia="zh-CN"/>
              </w:rPr>
              <w:t>0</w:t>
            </w:r>
            <w:r>
              <w:rPr>
                <w:rFonts w:hint="eastAsia"/>
                <w:spacing w:val="-1"/>
                <w:sz w:val="21"/>
                <w:szCs w:val="21"/>
              </w:rPr>
              <w:t>分</w:t>
            </w:r>
            <w:r>
              <w:rPr>
                <w:rFonts w:hint="eastAsia"/>
                <w:spacing w:val="-1"/>
                <w:sz w:val="21"/>
                <w:szCs w:val="21"/>
                <w:lang w:eastAsia="zh-CN"/>
              </w:rPr>
              <w:t>；</w:t>
            </w:r>
          </w:p>
        </w:tc>
      </w:tr>
    </w:tbl>
    <w:p w14:paraId="30137219">
      <w:pPr>
        <w:spacing w:line="360" w:lineRule="auto"/>
        <w:rPr>
          <w:rFonts w:hint="eastAsia" w:ascii="宋体" w:hAnsi="宋体" w:eastAsia="宋体" w:cs="宋体"/>
          <w:color w:val="auto"/>
          <w:sz w:val="21"/>
          <w:szCs w:val="21"/>
          <w:highlight w:val="none"/>
        </w:rPr>
      </w:pPr>
    </w:p>
    <w:p w14:paraId="2663B0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4"/>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F0066"/>
    <w:rsid w:val="047444CE"/>
    <w:rsid w:val="0AD14C07"/>
    <w:rsid w:val="166841BA"/>
    <w:rsid w:val="1B0A36DE"/>
    <w:rsid w:val="32584F31"/>
    <w:rsid w:val="3E435D4C"/>
    <w:rsid w:val="4DDF0066"/>
    <w:rsid w:val="519324DF"/>
    <w:rsid w:val="5AAF5F9B"/>
    <w:rsid w:val="5CEE1BCF"/>
    <w:rsid w:val="79F3642F"/>
    <w:rsid w:val="7B7E1C4A"/>
    <w:rsid w:val="7C02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4">
    <w:name w:val="heading 1"/>
    <w:basedOn w:val="1"/>
    <w:next w:val="1"/>
    <w:link w:val="46"/>
    <w:qFormat/>
    <w:uiPriority w:val="2"/>
    <w:pPr>
      <w:keepNext/>
      <w:keepLines/>
      <w:numPr>
        <w:ilvl w:val="0"/>
        <w:numId w:val="1"/>
      </w:numPr>
      <w:spacing w:before="340" w:after="330" w:line="576" w:lineRule="auto"/>
      <w:outlineLvl w:val="0"/>
    </w:pPr>
    <w:rPr>
      <w:b/>
      <w:bCs/>
      <w:kern w:val="2"/>
      <w:sz w:val="44"/>
      <w:szCs w:val="44"/>
    </w:rPr>
  </w:style>
  <w:style w:type="paragraph" w:styleId="5">
    <w:name w:val="heading 2"/>
    <w:basedOn w:val="4"/>
    <w:next w:val="1"/>
    <w:qFormat/>
    <w:uiPriority w:val="2"/>
    <w:pPr>
      <w:keepNext/>
      <w:keepLines/>
      <w:numPr>
        <w:ilvl w:val="1"/>
        <w:numId w:val="1"/>
      </w:numPr>
      <w:spacing w:before="260" w:after="260" w:line="415" w:lineRule="auto"/>
      <w:jc w:val="center"/>
      <w:outlineLvl w:val="1"/>
    </w:pPr>
    <w:rPr>
      <w:rFonts w:ascii="Arial" w:hAnsi="Arial" w:eastAsia="幼圆" w:cs="Arial"/>
      <w:kern w:val="0"/>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文本2"/>
    <w:basedOn w:val="1"/>
    <w:next w:val="3"/>
    <w:qFormat/>
    <w:uiPriority w:val="0"/>
    <w:rPr>
      <w:rFonts w:ascii="楷体_GB2312" w:hAnsi="Arial" w:eastAsia="楷体_GB2312"/>
      <w:sz w:val="28"/>
      <w:szCs w:val="28"/>
    </w:rPr>
  </w:style>
  <w:style w:type="paragraph" w:customStyle="1" w:styleId="3">
    <w:name w:val="正文文本 211"/>
    <w:basedOn w:val="1"/>
    <w:qFormat/>
    <w:uiPriority w:val="0"/>
    <w:pPr>
      <w:spacing w:after="120" w:line="480" w:lineRule="auto"/>
    </w:pPr>
  </w:style>
  <w:style w:type="paragraph" w:styleId="6">
    <w:name w:val="Normal Indent"/>
    <w:basedOn w:val="1"/>
    <w:unhideWhenUsed/>
    <w:qFormat/>
    <w:uiPriority w:val="0"/>
    <w:pPr>
      <w:ind w:firstLine="420" w:firstLineChars="200"/>
    </w:pPr>
  </w:style>
  <w:style w:type="paragraph" w:styleId="7">
    <w:name w:val="Body Text"/>
    <w:basedOn w:val="1"/>
    <w:next w:val="8"/>
    <w:qFormat/>
    <w:uiPriority w:val="0"/>
    <w:rPr>
      <w:rFonts w:ascii="楷体_GB2312" w:hAnsi="Arial" w:eastAsia="楷体_GB2312"/>
      <w:sz w:val="28"/>
      <w:szCs w:val="28"/>
    </w:rPr>
  </w:style>
  <w:style w:type="paragraph" w:styleId="8">
    <w:name w:val="Body Text 2"/>
    <w:basedOn w:val="1"/>
    <w:qFormat/>
    <w:uiPriority w:val="0"/>
    <w:rPr>
      <w:sz w:val="24"/>
      <w:szCs w:val="24"/>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2"/>
    </w:rPr>
  </w:style>
  <w:style w:type="paragraph" w:styleId="12">
    <w:name w:val="Body Text First Indent"/>
    <w:basedOn w:val="7"/>
    <w:unhideWhenUsed/>
    <w:qFormat/>
    <w:uiPriority w:val="0"/>
    <w:pPr>
      <w:adjustRightInd w:val="0"/>
      <w:ind w:firstLine="420" w:firstLineChars="100"/>
    </w:pPr>
    <w:rPr>
      <w:rFonts w:ascii="Times New Roman" w:hAnsi="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paragraph" w:customStyle="1" w:styleId="17">
    <w:name w:val="Default"/>
    <w:unhideWhenUsed/>
    <w:qFormat/>
    <w:uiPriority w:val="6"/>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8">
    <w:name w:val="段"/>
    <w:basedOn w:val="19"/>
    <w:qFormat/>
    <w:uiPriority w:val="0"/>
    <w:pPr>
      <w:widowControl/>
      <w:ind w:firstLine="200"/>
    </w:pPr>
    <w:rPr>
      <w:rFonts w:ascii="宋体"/>
      <w:sz w:val="20"/>
      <w:szCs w:val="20"/>
    </w:rPr>
  </w:style>
  <w:style w:type="paragraph" w:customStyle="1" w:styleId="19">
    <w:name w:val="正文13"/>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首行缩进1"/>
    <w:basedOn w:val="21"/>
    <w:next w:val="39"/>
    <w:qFormat/>
    <w:uiPriority w:val="0"/>
    <w:pPr>
      <w:spacing w:line="360" w:lineRule="auto"/>
      <w:ind w:firstLine="200"/>
    </w:pPr>
    <w:rPr>
      <w:rFonts w:ascii="仿宋_GB2312" w:eastAsia="仿宋_GB2312"/>
      <w:sz w:val="30"/>
      <w:szCs w:val="30"/>
    </w:rPr>
  </w:style>
  <w:style w:type="paragraph" w:customStyle="1" w:styleId="21">
    <w:name w:val="正文文本11"/>
    <w:basedOn w:val="22"/>
    <w:next w:val="23"/>
    <w:qFormat/>
    <w:uiPriority w:val="0"/>
    <w:rPr>
      <w:rFonts w:ascii="楷体_GB2312" w:hAnsi="Arial" w:eastAsia="楷体_GB2312"/>
      <w:sz w:val="28"/>
      <w:szCs w:val="28"/>
    </w:rPr>
  </w:style>
  <w:style w:type="paragraph" w:customStyle="1" w:styleId="22">
    <w:name w:val="正文112"/>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正文11"/>
    <w:next w:val="2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4">
    <w:name w:val="正文首行缩进11"/>
    <w:basedOn w:val="25"/>
    <w:next w:val="31"/>
    <w:qFormat/>
    <w:uiPriority w:val="0"/>
    <w:pPr>
      <w:ind w:firstLine="420"/>
    </w:pPr>
  </w:style>
  <w:style w:type="paragraph" w:customStyle="1" w:styleId="25">
    <w:name w:val="正文文本1"/>
    <w:basedOn w:val="26"/>
    <w:next w:val="27"/>
    <w:qFormat/>
    <w:uiPriority w:val="0"/>
    <w:pPr>
      <w:spacing w:after="120"/>
    </w:pPr>
    <w:rPr>
      <w:lang w:val="en-US" w:eastAsia="en-US"/>
    </w:rPr>
  </w:style>
  <w:style w:type="paragraph" w:customStyle="1" w:styleId="26">
    <w:name w:val="正文111"/>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
    <w:name w:val="一级条标题"/>
    <w:basedOn w:val="28"/>
    <w:next w:val="1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
    <w:name w:val="章标题"/>
    <w:next w:val="29"/>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9">
    <w:name w:val="正文1"/>
    <w:basedOn w:val="23"/>
    <w:next w:val="30"/>
    <w:qFormat/>
    <w:uiPriority w:val="0"/>
    <w:pPr>
      <w:spacing w:line="360" w:lineRule="atLeast"/>
      <w:jc w:val="left"/>
    </w:pPr>
    <w:rPr>
      <w:rFonts w:ascii="宋体" w:hAnsi="Calibri" w:eastAsia="宋体" w:cs="Times New Roman"/>
      <w:sz w:val="24"/>
      <w:szCs w:val="20"/>
    </w:rPr>
  </w:style>
  <w:style w:type="paragraph" w:customStyle="1" w:styleId="30">
    <w:name w:val="标题 21"/>
    <w:basedOn w:val="1"/>
    <w:next w:val="23"/>
    <w:qFormat/>
    <w:uiPriority w:val="9"/>
    <w:pPr>
      <w:keepNext/>
      <w:keepLines/>
      <w:spacing w:before="260" w:after="260" w:line="416" w:lineRule="auto"/>
      <w:outlineLvl w:val="1"/>
    </w:pPr>
    <w:rPr>
      <w:rFonts w:ascii="Cambria" w:hAnsi="Cambria"/>
      <w:b/>
      <w:bCs/>
      <w:sz w:val="32"/>
      <w:szCs w:val="32"/>
    </w:rPr>
  </w:style>
  <w:style w:type="paragraph" w:customStyle="1" w:styleId="31">
    <w:name w:val="正文首行缩进 211"/>
    <w:basedOn w:val="32"/>
    <w:unhideWhenUsed/>
    <w:qFormat/>
    <w:uiPriority w:val="99"/>
    <w:pPr>
      <w:ind w:left="200" w:firstLine="420"/>
    </w:pPr>
  </w:style>
  <w:style w:type="paragraph" w:customStyle="1" w:styleId="32">
    <w:name w:val="正文文本缩进11"/>
    <w:basedOn w:val="33"/>
    <w:next w:val="38"/>
    <w:unhideWhenUsed/>
    <w:qFormat/>
    <w:uiPriority w:val="99"/>
    <w:pPr>
      <w:spacing w:after="120"/>
      <w:ind w:left="420"/>
    </w:pPr>
  </w:style>
  <w:style w:type="paragraph" w:customStyle="1" w:styleId="33">
    <w:name w:val="正文12"/>
    <w:next w:val="3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
    <w:name w:val="列出段落1"/>
    <w:basedOn w:val="35"/>
    <w:next w:val="36"/>
    <w:qFormat/>
    <w:uiPriority w:val="0"/>
    <w:pPr>
      <w:widowControl/>
      <w:ind w:left="720"/>
      <w:contextualSpacing/>
      <w:jc w:val="left"/>
    </w:pPr>
    <w:rPr>
      <w:sz w:val="24"/>
      <w:szCs w:val="24"/>
      <w:lang w:eastAsia="en-US" w:bidi="en-US"/>
    </w:rPr>
  </w:style>
  <w:style w:type="paragraph" w:customStyle="1" w:styleId="35">
    <w:name w:val="正文_10_4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
    <w:name w:val="标题 71"/>
    <w:basedOn w:val="37"/>
    <w:next w:val="22"/>
    <w:qFormat/>
    <w:uiPriority w:val="0"/>
    <w:pPr>
      <w:keepNext/>
      <w:keepLines/>
      <w:spacing w:before="320" w:after="200"/>
      <w:outlineLvl w:val="6"/>
    </w:pPr>
    <w:rPr>
      <w:rFonts w:ascii="Arial" w:hAnsi="Arial" w:eastAsia="Arial"/>
      <w:b/>
      <w:bCs/>
      <w:i/>
      <w:iCs/>
      <w:sz w:val="22"/>
      <w:szCs w:val="22"/>
    </w:rPr>
  </w:style>
  <w:style w:type="paragraph" w:customStyle="1" w:styleId="37">
    <w:name w:val="正文1111"/>
    <w:next w:val="2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
    <w:name w:val="寄信人地址11"/>
    <w:basedOn w:val="1"/>
    <w:unhideWhenUsed/>
    <w:qFormat/>
    <w:uiPriority w:val="99"/>
    <w:rPr>
      <w:rFonts w:ascii="Arial" w:hAnsi="Arial"/>
    </w:rPr>
  </w:style>
  <w:style w:type="paragraph" w:customStyle="1" w:styleId="39">
    <w:name w:val="正文首行缩进 21"/>
    <w:basedOn w:val="40"/>
    <w:next w:val="26"/>
    <w:qFormat/>
    <w:uiPriority w:val="0"/>
    <w:pPr>
      <w:ind w:firstLine="420"/>
    </w:pPr>
  </w:style>
  <w:style w:type="paragraph" w:customStyle="1" w:styleId="40">
    <w:name w:val="正文文本缩进1"/>
    <w:basedOn w:val="23"/>
    <w:next w:val="41"/>
    <w:qFormat/>
    <w:uiPriority w:val="99"/>
    <w:pPr>
      <w:spacing w:after="120"/>
      <w:ind w:left="420"/>
    </w:pPr>
    <w:rPr>
      <w:sz w:val="20"/>
      <w:szCs w:val="24"/>
    </w:rPr>
  </w:style>
  <w:style w:type="paragraph" w:customStyle="1" w:styleId="41">
    <w:name w:val="寄信人地址1"/>
    <w:basedOn w:val="1"/>
    <w:qFormat/>
    <w:uiPriority w:val="0"/>
    <w:rPr>
      <w:rFonts w:ascii="Arial" w:hAnsi="Arial"/>
    </w:rPr>
  </w:style>
  <w:style w:type="character" w:customStyle="1" w:styleId="42">
    <w:name w:val="标题 1 Char"/>
    <w:link w:val="43"/>
    <w:qFormat/>
    <w:uiPriority w:val="9"/>
    <w:rPr>
      <w:b/>
      <w:bCs/>
      <w:sz w:val="44"/>
      <w:szCs w:val="44"/>
    </w:rPr>
  </w:style>
  <w:style w:type="paragraph" w:customStyle="1" w:styleId="43">
    <w:name w:val="标题 11"/>
    <w:basedOn w:val="1"/>
    <w:next w:val="1"/>
    <w:link w:val="42"/>
    <w:qFormat/>
    <w:uiPriority w:val="9"/>
    <w:pPr>
      <w:keepNext/>
      <w:keepLines/>
      <w:spacing w:before="340" w:after="330" w:line="578" w:lineRule="auto"/>
      <w:outlineLvl w:val="0"/>
    </w:pPr>
    <w:rPr>
      <w:b/>
      <w:bCs/>
      <w:sz w:val="44"/>
      <w:szCs w:val="44"/>
    </w:rPr>
  </w:style>
  <w:style w:type="paragraph" w:customStyle="1" w:styleId="44">
    <w:name w:val="普通正文"/>
    <w:basedOn w:val="1"/>
    <w:qFormat/>
    <w:uiPriority w:val="0"/>
    <w:pPr>
      <w:spacing w:before="120" w:after="120" w:line="360" w:lineRule="auto"/>
      <w:ind w:firstLine="480"/>
      <w:jc w:val="left"/>
    </w:pPr>
    <w:rPr>
      <w:rFonts w:ascii="Arial" w:hAnsi="Arial"/>
      <w:sz w:val="24"/>
      <w:szCs w:val="24"/>
    </w:rPr>
  </w:style>
  <w:style w:type="paragraph" w:customStyle="1" w:styleId="45">
    <w:name w:val="正文（缩进）"/>
    <w:basedOn w:val="1"/>
    <w:next w:val="1"/>
    <w:qFormat/>
    <w:uiPriority w:val="0"/>
    <w:pPr>
      <w:suppressAutoHyphens w:val="0"/>
      <w:spacing w:before="156" w:after="156"/>
      <w:ind w:firstLine="480" w:firstLineChars="200"/>
    </w:pPr>
    <w:rPr>
      <w:szCs w:val="24"/>
    </w:rPr>
  </w:style>
  <w:style w:type="character" w:customStyle="1" w:styleId="46">
    <w:name w:val="标题 1 字符"/>
    <w:link w:val="4"/>
    <w:qFormat/>
    <w:uiPriority w:val="9"/>
    <w:rPr>
      <w:b/>
      <w:bCs/>
      <w:kern w:val="2"/>
      <w:sz w:val="44"/>
      <w:szCs w:val="44"/>
    </w:rPr>
  </w:style>
  <w:style w:type="character" w:customStyle="1" w:styleId="47">
    <w:name w:val="style41"/>
    <w:qFormat/>
    <w:uiPriority w:val="0"/>
    <w:rPr>
      <w:color w:val="0B50A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3182</Words>
  <Characters>3202</Characters>
  <Lines>0</Lines>
  <Paragraphs>0</Paragraphs>
  <TotalTime>1</TotalTime>
  <ScaleCrop>false</ScaleCrop>
  <LinksUpToDate>false</LinksUpToDate>
  <CharactersWithSpaces>3247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2025-05-06T08:11:00Z</dcterms:created>
  <dc:creator>蝴蝶瓦</dc:creator>
  <cp:lastModifiedBy>珺</cp:lastModifiedBy>
  <dcterms:modified xsi:type="dcterms:W3CDTF">2026-07-01T06:16:54Z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C4662AE170E1409D8988282EF54C052F_11</vt:lpwstr>
  </property>
  <property fmtid="{D5CDD505-2E9C-101B-9397-08002B2CF9AE}" pid="4" name="KSOTemplateDocerSaveRecord">
    <vt:lpwstr>eyJoZGlkIjoiN2U4NzgxMTRhNTQzNDU4ZTI0MDA2ZjNkOGJiYzZmNzMiLCJ1c2VySWQiOiI3Mjc3MjI1MDUifQ==</vt:lpwstr>
  </property>
</Properties>
</file>